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C52B7" w14:textId="77777777" w:rsidR="009A68FB" w:rsidRDefault="008E6BFD">
      <w:r>
        <w:t>Department of Chemistry Faculty Annual Performance Review Policy</w:t>
      </w:r>
    </w:p>
    <w:p w14:paraId="6B7A1A94" w14:textId="0CB5F816" w:rsidR="003B5A61" w:rsidRDefault="00D81137">
      <w:r>
        <w:t xml:space="preserve">Approved by Chemistry Faculty Vote: </w:t>
      </w:r>
      <w:r w:rsidR="00974643">
        <w:t>January 30, 2017</w:t>
      </w:r>
    </w:p>
    <w:p w14:paraId="4AA16807" w14:textId="77777777" w:rsidR="008E6BFD" w:rsidRDefault="008E6BFD"/>
    <w:p w14:paraId="2D20B20E" w14:textId="1111DDF9" w:rsidR="008E6BFD" w:rsidRDefault="00F137BB">
      <w:r>
        <w:t>The policy</w:t>
      </w:r>
      <w:r w:rsidR="00223333">
        <w:t xml:space="preserve"> and procedures</w:t>
      </w:r>
      <w:r>
        <w:t xml:space="preserve"> </w:t>
      </w:r>
      <w:r w:rsidR="00223333">
        <w:t>for</w:t>
      </w:r>
      <w:r>
        <w:t xml:space="preserve"> faculty annual performance review complies with the Franklin College policy, dated November 2016</w:t>
      </w:r>
      <w:r w:rsidR="00254E74">
        <w:t xml:space="preserve">, and the Academic Affairs Policy 1.06-1, </w:t>
      </w:r>
      <w:hyperlink r:id="rId5" w:history="1">
        <w:r w:rsidR="00254E74" w:rsidRPr="004F6B2A">
          <w:rPr>
            <w:rStyle w:val="Hyperlink"/>
          </w:rPr>
          <w:t>http://provost.uga.edu/index.php/policies/academic-affairs-policy-manual/1-06-1-written-annual-review</w:t>
        </w:r>
      </w:hyperlink>
      <w:r w:rsidR="00254E74">
        <w:t>.</w:t>
      </w:r>
      <w:r>
        <w:t xml:space="preserve"> </w:t>
      </w:r>
      <w:r w:rsidR="007B4AC6">
        <w:t xml:space="preserve">The procedure for the annual evaluation: </w:t>
      </w:r>
    </w:p>
    <w:p w14:paraId="5A5B90EF" w14:textId="77777777" w:rsidR="007B4AC6" w:rsidRDefault="007B4AC6" w:rsidP="004B4223"/>
    <w:p w14:paraId="05D41677" w14:textId="77777777" w:rsidR="008E6BFD" w:rsidRDefault="006545E7" w:rsidP="006545E7">
      <w:pPr>
        <w:pStyle w:val="ListParagraph"/>
        <w:numPr>
          <w:ilvl w:val="0"/>
          <w:numId w:val="2"/>
        </w:numPr>
      </w:pPr>
      <w:r>
        <w:t>By the end of each calendar year, f</w:t>
      </w:r>
      <w:r w:rsidR="007B4AC6">
        <w:t>aculty</w:t>
      </w:r>
      <w:r>
        <w:t xml:space="preserve"> members</w:t>
      </w:r>
      <w:r w:rsidR="007B4AC6">
        <w:t xml:space="preserve"> must enter all of their research, teaching, and service activities into the UGA Elements website, </w:t>
      </w:r>
      <w:r w:rsidR="003C1054">
        <w:t>accessed</w:t>
      </w:r>
      <w:r>
        <w:t xml:space="preserve"> at</w:t>
      </w:r>
      <w:r w:rsidR="003C1054">
        <w:t xml:space="preserve"> </w:t>
      </w:r>
      <w:hyperlink r:id="rId6" w:history="1">
        <w:r w:rsidRPr="004F6B2A">
          <w:rPr>
            <w:rStyle w:val="Hyperlink"/>
          </w:rPr>
          <w:t>https://uga.elements.symplectic.org/login.html</w:t>
        </w:r>
      </w:hyperlink>
      <w:r w:rsidR="003C1054">
        <w:t>.</w:t>
      </w:r>
    </w:p>
    <w:p w14:paraId="2094F322" w14:textId="77777777" w:rsidR="00050EAC" w:rsidRDefault="00254E74" w:rsidP="006545E7">
      <w:pPr>
        <w:pStyle w:val="ListParagraph"/>
        <w:numPr>
          <w:ilvl w:val="0"/>
          <w:numId w:val="2"/>
        </w:numPr>
      </w:pPr>
      <w:r>
        <w:t>Each faculty member must print a report</w:t>
      </w:r>
      <w:r w:rsidR="005F2B53">
        <w:t xml:space="preserve"> of their annual activities from within Elements</w:t>
      </w:r>
      <w:r w:rsidR="004923C8">
        <w:t xml:space="preserve"> for the calendar year, and submit this to the head of Chemistry by the end</w:t>
      </w:r>
      <w:r w:rsidR="009C31AA">
        <w:t xml:space="preserve"> (Friday)</w:t>
      </w:r>
      <w:r w:rsidR="004923C8">
        <w:t xml:space="preserve"> of the first </w:t>
      </w:r>
      <w:r w:rsidR="009C31AA">
        <w:t xml:space="preserve">full </w:t>
      </w:r>
      <w:r w:rsidR="004923C8">
        <w:t xml:space="preserve">week of January. </w:t>
      </w:r>
    </w:p>
    <w:p w14:paraId="346E8D73" w14:textId="78FDA4C6" w:rsidR="006545E7" w:rsidRDefault="004923C8" w:rsidP="006545E7">
      <w:pPr>
        <w:pStyle w:val="ListParagraph"/>
        <w:numPr>
          <w:ilvl w:val="0"/>
          <w:numId w:val="2"/>
        </w:numPr>
      </w:pPr>
      <w:r>
        <w:t>In addition, each faculty member must print an activities report using the approved departmental template (attached). This report distinguishes activities that are not clearly separated in the Elements reports, for</w:t>
      </w:r>
      <w:r w:rsidR="00BF533B">
        <w:t xml:space="preserve"> example, departmental seminars from</w:t>
      </w:r>
      <w:r>
        <w:t xml:space="preserve"> invited presentations at conferences/meetings/workshops, </w:t>
      </w:r>
      <w:r w:rsidR="00BF533B">
        <w:t>or from</w:t>
      </w:r>
      <w:r>
        <w:t xml:space="preserve"> contributed presentations at conferences/meetings/workshops. </w:t>
      </w:r>
      <w:r w:rsidR="00050EAC">
        <w:t xml:space="preserve">The activities reported in this document must be </w:t>
      </w:r>
      <w:r w:rsidR="00BF533B">
        <w:t>documented</w:t>
      </w:r>
      <w:r w:rsidR="00050EAC">
        <w:t xml:space="preserve"> </w:t>
      </w:r>
      <w:r w:rsidR="00C03E3D">
        <w:t xml:space="preserve">in </w:t>
      </w:r>
      <w:r w:rsidR="00050EAC">
        <w:t xml:space="preserve">Elements </w:t>
      </w:r>
      <w:r w:rsidR="00BF533B">
        <w:t xml:space="preserve">and in the Elements </w:t>
      </w:r>
      <w:r w:rsidR="00050EAC">
        <w:t xml:space="preserve">report. </w:t>
      </w:r>
      <w:r>
        <w:t>This report is submitted at the same time as the Elements report.</w:t>
      </w:r>
      <w:r w:rsidR="009C31AA">
        <w:t xml:space="preserve"> These reports are submitted </w:t>
      </w:r>
      <w:r w:rsidR="009C31AA" w:rsidRPr="009C31AA">
        <w:rPr>
          <w:u w:val="single"/>
        </w:rPr>
        <w:t>electronically</w:t>
      </w:r>
      <w:r w:rsidR="009C31AA">
        <w:t xml:space="preserve"> to the head’s assistant, with a copy to the head.</w:t>
      </w:r>
    </w:p>
    <w:p w14:paraId="103553CA" w14:textId="35A72F20" w:rsidR="004923C8" w:rsidRDefault="00AD1457" w:rsidP="006545E7">
      <w:pPr>
        <w:pStyle w:val="ListParagraph"/>
        <w:numPr>
          <w:ilvl w:val="0"/>
          <w:numId w:val="2"/>
        </w:numPr>
      </w:pPr>
      <w:r>
        <w:t xml:space="preserve">Once their activities report has been submitted, a faculty member should schedule a meeting with the head to review their annual performance. The head will prepare a written evaluation of the faculty member in advance of the meeting, which will serve as </w:t>
      </w:r>
      <w:r w:rsidR="00C03E3D">
        <w:t xml:space="preserve">the </w:t>
      </w:r>
      <w:r>
        <w:t>basis of discussion. These meetings are generally scheduled for the months of January or February.</w:t>
      </w:r>
    </w:p>
    <w:p w14:paraId="07D043F3" w14:textId="1BBC52F5" w:rsidR="00AD1457" w:rsidRDefault="00AD1457" w:rsidP="006C6D57">
      <w:pPr>
        <w:pStyle w:val="ListParagraph"/>
        <w:numPr>
          <w:ilvl w:val="0"/>
          <w:numId w:val="2"/>
        </w:numPr>
      </w:pPr>
      <w:r>
        <w:t>Faculty members will sign the written evaluation to acknowledge that they have been offered the chance to read and discuss the document.</w:t>
      </w:r>
      <w:r w:rsidR="006C6D57">
        <w:t xml:space="preserve"> As a result of the discussion, the head and faculty member may agree to a revision of the evaluation.  In this case, the faculty member will sign the revised document instead.</w:t>
      </w:r>
    </w:p>
    <w:p w14:paraId="535EE91F" w14:textId="366EE126" w:rsidR="00AD1457" w:rsidRDefault="006C6D57" w:rsidP="006545E7">
      <w:pPr>
        <w:pStyle w:val="ListParagraph"/>
        <w:numPr>
          <w:ilvl w:val="0"/>
          <w:numId w:val="2"/>
        </w:numPr>
      </w:pPr>
      <w:r>
        <w:t>In cases where there is disagreement between the faculty member and the head, the faculty member</w:t>
      </w:r>
      <w:r w:rsidR="00AD1457">
        <w:t xml:space="preserve"> m</w:t>
      </w:r>
      <w:r>
        <w:t>a</w:t>
      </w:r>
      <w:r w:rsidR="00AD1457">
        <w:t>y reply in writing to the evaluation, and this response will be attached to the document.</w:t>
      </w:r>
    </w:p>
    <w:p w14:paraId="61D94AB4" w14:textId="56C02DF8" w:rsidR="00AD1457" w:rsidRDefault="00AD1457" w:rsidP="006545E7">
      <w:pPr>
        <w:pStyle w:val="ListParagraph"/>
        <w:numPr>
          <w:ilvl w:val="0"/>
          <w:numId w:val="2"/>
        </w:numPr>
      </w:pPr>
      <w:r>
        <w:t xml:space="preserve">The head will acknowledge, in writing, the receipt of written responses, </w:t>
      </w:r>
      <w:r w:rsidR="006C6D57">
        <w:t xml:space="preserve">and </w:t>
      </w:r>
      <w:r>
        <w:t>note any changes to the evaluation as a result of the responses.</w:t>
      </w:r>
    </w:p>
    <w:p w14:paraId="757D52ED" w14:textId="77777777" w:rsidR="00223333" w:rsidRDefault="00223333" w:rsidP="00223333"/>
    <w:p w14:paraId="162E29BB" w14:textId="77777777" w:rsidR="00223333" w:rsidRDefault="00223333" w:rsidP="00BF533B"/>
    <w:p w14:paraId="7B747F28" w14:textId="3BDF36D5" w:rsidR="00BF533B" w:rsidRDefault="00CF16FE" w:rsidP="00BF533B">
      <w:r>
        <w:t>For tenured or tenure-</w:t>
      </w:r>
      <w:r w:rsidR="00223333">
        <w:t xml:space="preserve">track faculty, the annual performance evaluation is based on the published departmental criteria for tenure and promotion, </w:t>
      </w:r>
      <w:hyperlink r:id="rId7" w:history="1">
        <w:r w:rsidR="00223333" w:rsidRPr="004F6B2A">
          <w:rPr>
            <w:rStyle w:val="Hyperlink"/>
          </w:rPr>
          <w:t>http://www.chem.uga.edu/system/files/ptc.pdf</w:t>
        </w:r>
      </w:hyperlink>
      <w:r w:rsidR="00223333">
        <w:t xml:space="preserve">, and for post-tenure review, </w:t>
      </w:r>
      <w:hyperlink r:id="rId8" w:anchor="PTR" w:history="1">
        <w:r w:rsidR="00223333" w:rsidRPr="004F6B2A">
          <w:rPr>
            <w:rStyle w:val="Hyperlink"/>
          </w:rPr>
          <w:t>http://www.chem.uga.edu/departmental-operations/by-laws#PTR</w:t>
        </w:r>
      </w:hyperlink>
      <w:r w:rsidR="00223333">
        <w:t>. Briefly stated, tenured or tenure-track faculty are expected to be active and productive researchers, competent instructors, and contributors of service to their department, university, and profession</w:t>
      </w:r>
      <w:r w:rsidR="00F40146">
        <w:t>.</w:t>
      </w:r>
      <w:r w:rsidR="00223333">
        <w:t xml:space="preserve"> Annual </w:t>
      </w:r>
      <w:r w:rsidR="00223333">
        <w:lastRenderedPageBreak/>
        <w:t xml:space="preserve">evaluations will review the accomplishments and contributions of tenured/tenure-track faculty in all three areas, namely research, teaching, and service.  </w:t>
      </w:r>
      <w:r w:rsidR="00265063">
        <w:t xml:space="preserve">The </w:t>
      </w:r>
      <w:r w:rsidR="00223333">
        <w:t>guidelines</w:t>
      </w:r>
      <w:r w:rsidR="00265063">
        <w:t xml:space="preserve"> for the </w:t>
      </w:r>
      <w:r w:rsidR="00355273">
        <w:t>head’s preparation of the written annual evaluation:</w:t>
      </w:r>
    </w:p>
    <w:p w14:paraId="6C27CDAC" w14:textId="77777777" w:rsidR="00223333" w:rsidRDefault="00223333" w:rsidP="00BF533B"/>
    <w:p w14:paraId="3FD0AF7E" w14:textId="294216BB" w:rsidR="00223333" w:rsidRDefault="00355273" w:rsidP="00223333">
      <w:pPr>
        <w:pStyle w:val="ListParagraph"/>
        <w:numPr>
          <w:ilvl w:val="0"/>
          <w:numId w:val="3"/>
        </w:numPr>
      </w:pPr>
      <w:r>
        <w:t xml:space="preserve">The written evaluation will contain four sections; Research, Teaching, Service, and Summary. </w:t>
      </w:r>
      <w:r w:rsidR="00223333">
        <w:t>The head will provide a narrative for each section based on the activities reported by the faculty member. In addition, t</w:t>
      </w:r>
      <w:r>
        <w:t xml:space="preserve">he head will provide a </w:t>
      </w:r>
      <w:r w:rsidR="00350E42">
        <w:t>rating for each section; Meets Expectations, Exceeds Expectations, Does Not Meet Expectations.</w:t>
      </w:r>
      <w:r w:rsidR="00223333">
        <w:t xml:space="preserve"> </w:t>
      </w:r>
    </w:p>
    <w:p w14:paraId="706DF20A" w14:textId="43E93AAE" w:rsidR="00223333" w:rsidRDefault="00223333" w:rsidP="00223333">
      <w:pPr>
        <w:pStyle w:val="ListParagraph"/>
        <w:numPr>
          <w:ilvl w:val="0"/>
          <w:numId w:val="3"/>
        </w:numPr>
      </w:pPr>
      <w:r>
        <w:t>Performance expectations are based on promotion and tenure criteria, or post-tenure review criteria, as stated above.</w:t>
      </w:r>
    </w:p>
    <w:p w14:paraId="2C7CFC28" w14:textId="1A09657C" w:rsidR="00800EE8" w:rsidRDefault="00223333" w:rsidP="00825647">
      <w:pPr>
        <w:pStyle w:val="ListParagraph"/>
        <w:numPr>
          <w:ilvl w:val="0"/>
          <w:numId w:val="3"/>
        </w:numPr>
      </w:pPr>
      <w:r>
        <w:t xml:space="preserve">Most faculty in the Department of Chemistry have </w:t>
      </w:r>
      <w:r w:rsidR="00657EF2">
        <w:t xml:space="preserve">formal </w:t>
      </w:r>
      <w:r>
        <w:t xml:space="preserve">assignments (EFT) that are weighted toward research, and </w:t>
      </w:r>
      <w:r w:rsidR="00657EF2">
        <w:t>for them</w:t>
      </w:r>
      <w:r w:rsidR="00922E99">
        <w:t>,</w:t>
      </w:r>
      <w:r>
        <w:t xml:space="preserve"> this category </w:t>
      </w:r>
      <w:r w:rsidR="00657EF2">
        <w:t>contributes significantly to their overall review.</w:t>
      </w:r>
      <w:r>
        <w:t xml:space="preserve"> Evidence of research performance is based on a number of documented activities, including grant awards, submission of proposals, peer-reviewed </w:t>
      </w:r>
      <w:r w:rsidR="00657EF2">
        <w:t>journal articles</w:t>
      </w:r>
      <w:r>
        <w:t xml:space="preserve">, </w:t>
      </w:r>
      <w:r w:rsidR="00657EF2">
        <w:t>submitted articles, published or submitted books or book chapters, invited seminars, invited presentations at international, national, or regional meetings (</w:t>
      </w:r>
      <w:r w:rsidR="005B57F2">
        <w:t xml:space="preserve">with weighting for </w:t>
      </w:r>
      <w:r w:rsidR="00657EF2">
        <w:t>keyno</w:t>
      </w:r>
      <w:r w:rsidR="005B57F2">
        <w:t>te or plenary lectures</w:t>
      </w:r>
      <w:r w:rsidR="00657EF2">
        <w:t xml:space="preserve">), contributed presentations, </w:t>
      </w:r>
      <w:r w:rsidR="004218E3">
        <w:t xml:space="preserve">awarded </w:t>
      </w:r>
      <w:r w:rsidR="00657EF2">
        <w:t>patent</w:t>
      </w:r>
      <w:r w:rsidR="00922E99">
        <w:t>s</w:t>
      </w:r>
      <w:r w:rsidR="004218E3">
        <w:t xml:space="preserve">, patent </w:t>
      </w:r>
      <w:r w:rsidR="00657EF2">
        <w:t>applications</w:t>
      </w:r>
      <w:r w:rsidR="004218E3">
        <w:t xml:space="preserve">, and </w:t>
      </w:r>
      <w:r w:rsidR="005B57F2">
        <w:t xml:space="preserve">research </w:t>
      </w:r>
      <w:r w:rsidR="004218E3">
        <w:t>awards</w:t>
      </w:r>
      <w:r w:rsidR="00922E99">
        <w:t xml:space="preserve">. </w:t>
      </w:r>
      <w:r w:rsidR="004218E3">
        <w:t>The</w:t>
      </w:r>
      <w:r w:rsidR="00657EF2">
        <w:t xml:space="preserve"> overall rating for research is </w:t>
      </w:r>
      <w:r w:rsidR="004218E3">
        <w:t>based on the quality and quantity of activities.</w:t>
      </w:r>
      <w:r w:rsidR="00657EF2">
        <w:t xml:space="preserve"> </w:t>
      </w:r>
      <w:r w:rsidR="005B57F2">
        <w:t>“</w:t>
      </w:r>
      <w:r w:rsidR="00922E99">
        <w:t>Quality</w:t>
      </w:r>
      <w:r w:rsidR="005B57F2">
        <w:t>”</w:t>
      </w:r>
      <w:r w:rsidR="00922E99">
        <w:t xml:space="preserve"> is based on accepted standards, for example, impact factor of journals, standing of departments/universities extending seminar invitations, size and scope (international, national, regional) of a scientific conference/meeting/workshop, significance of an award (weighted for impact as judged by the international, national, regional, or university scope of</w:t>
      </w:r>
      <w:r w:rsidR="005B57F2">
        <w:t xml:space="preserve"> the</w:t>
      </w:r>
      <w:r w:rsidR="00922E99">
        <w:t xml:space="preserve"> award).  </w:t>
      </w:r>
    </w:p>
    <w:p w14:paraId="05102FCA" w14:textId="2779B892" w:rsidR="000F5805" w:rsidRPr="00702FBD" w:rsidRDefault="00E07A8D" w:rsidP="000F5805">
      <w:pPr>
        <w:pStyle w:val="ListParagraph"/>
        <w:numPr>
          <w:ilvl w:val="0"/>
          <w:numId w:val="3"/>
        </w:numPr>
      </w:pPr>
      <w:r w:rsidRPr="00702FBD">
        <w:t>A rating of “m</w:t>
      </w:r>
      <w:r w:rsidR="00791FF7" w:rsidRPr="00702FBD">
        <w:t>eeting research expectations</w:t>
      </w:r>
      <w:r w:rsidRPr="00702FBD">
        <w:t>”</w:t>
      </w:r>
      <w:r w:rsidR="00A632EC" w:rsidRPr="00702FBD">
        <w:t xml:space="preserve"> requires </w:t>
      </w:r>
      <w:r w:rsidR="00E85E61" w:rsidRPr="00702FBD">
        <w:t>clear evidence of research activities</w:t>
      </w:r>
      <w:r w:rsidR="00762F35" w:rsidRPr="00702FBD">
        <w:t xml:space="preserve"> commensurate with achieving or maintaining a national reputation for one’s research program</w:t>
      </w:r>
      <w:r w:rsidR="008765E4" w:rsidRPr="00702FBD">
        <w:t>, as a minimum</w:t>
      </w:r>
      <w:r w:rsidR="00762F35" w:rsidRPr="00702FBD">
        <w:t>.</w:t>
      </w:r>
      <w:r w:rsidR="008765E4" w:rsidRPr="00702FBD">
        <w:t xml:space="preserve"> </w:t>
      </w:r>
      <w:r w:rsidR="00762F35" w:rsidRPr="00702FBD">
        <w:t xml:space="preserve">Specifically, a faculty member is expected to disseminate the products of their research, through publication of scientific articles in peer-reviewed journals </w:t>
      </w:r>
      <w:r w:rsidR="000F5805" w:rsidRPr="00702FBD">
        <w:t>and presentation of their research at scientific meetings, conferences and workshops</w:t>
      </w:r>
      <w:r w:rsidR="008F652C" w:rsidRPr="00702FBD">
        <w:t>, and to obtain external funding to support these research activities</w:t>
      </w:r>
      <w:r w:rsidR="000F5805" w:rsidRPr="00702FBD">
        <w:t xml:space="preserve">. </w:t>
      </w:r>
      <w:r w:rsidR="005E62A5" w:rsidRPr="00702FBD">
        <w:t xml:space="preserve">To meet research expectations, a faculty member must meet the base level of output in </w:t>
      </w:r>
      <w:r w:rsidR="005E62A5" w:rsidRPr="00702FBD">
        <w:rPr>
          <w:u w:val="single"/>
        </w:rPr>
        <w:t>two</w:t>
      </w:r>
      <w:r w:rsidR="005E62A5" w:rsidRPr="00702FBD">
        <w:t xml:space="preserve"> of the three following categories.</w:t>
      </w:r>
    </w:p>
    <w:p w14:paraId="0C949BF1" w14:textId="4681DB78" w:rsidR="000F5805" w:rsidRPr="00702FBD" w:rsidRDefault="005719BC" w:rsidP="000F5805">
      <w:pPr>
        <w:pStyle w:val="ListParagraph"/>
        <w:numPr>
          <w:ilvl w:val="1"/>
          <w:numId w:val="3"/>
        </w:numPr>
      </w:pPr>
      <w:r w:rsidRPr="00702FBD">
        <w:t xml:space="preserve">The expected </w:t>
      </w:r>
      <w:r w:rsidR="009E588D" w:rsidRPr="00702FBD">
        <w:t xml:space="preserve">base </w:t>
      </w:r>
      <w:r w:rsidRPr="00702FBD">
        <w:t xml:space="preserve">level of </w:t>
      </w:r>
      <w:r w:rsidR="000F5805" w:rsidRPr="00702FBD">
        <w:t>publication</w:t>
      </w:r>
      <w:r w:rsidR="009E588D" w:rsidRPr="00702FBD">
        <w:t xml:space="preserve"> </w:t>
      </w:r>
      <w:r w:rsidRPr="00702FBD">
        <w:t xml:space="preserve">output, based on promotion guidelines, is 10 </w:t>
      </w:r>
      <w:r w:rsidR="006B22FE" w:rsidRPr="00702FBD">
        <w:t xml:space="preserve">peer-reviewed </w:t>
      </w:r>
      <w:r w:rsidRPr="00702FBD">
        <w:t>journal articles over a five</w:t>
      </w:r>
      <w:r w:rsidR="009E588D" w:rsidRPr="00702FBD">
        <w:t>-</w:t>
      </w:r>
      <w:r w:rsidRPr="00702FBD">
        <w:t xml:space="preserve">year period, </w:t>
      </w:r>
      <w:r w:rsidR="006B22FE" w:rsidRPr="00702FBD">
        <w:t xml:space="preserve">that is, an average of </w:t>
      </w:r>
      <w:r w:rsidRPr="00702FBD">
        <w:t>two articles per year.</w:t>
      </w:r>
      <w:r w:rsidR="00377BA7" w:rsidRPr="00702FBD">
        <w:t xml:space="preserve"> Alternatively, one may substitute the publication of a </w:t>
      </w:r>
      <w:r w:rsidR="006B22FE" w:rsidRPr="00702FBD">
        <w:t xml:space="preserve">peer-reviewed </w:t>
      </w:r>
      <w:r w:rsidR="00377BA7" w:rsidRPr="00702FBD">
        <w:t>book chapter or book for a journal article.</w:t>
      </w:r>
      <w:r w:rsidR="009E588D" w:rsidRPr="00702FBD">
        <w:t xml:space="preserve"> Faculty who average less than two </w:t>
      </w:r>
      <w:r w:rsidR="00330881" w:rsidRPr="00702FBD">
        <w:t xml:space="preserve">peer-reviewed </w:t>
      </w:r>
      <w:r w:rsidR="009E588D" w:rsidRPr="00702FBD">
        <w:t xml:space="preserve">articles per year over a three-year period are not meeting </w:t>
      </w:r>
      <w:r w:rsidR="00785EC6" w:rsidRPr="00702FBD">
        <w:t>publication</w:t>
      </w:r>
      <w:r w:rsidR="009E588D" w:rsidRPr="00702FBD">
        <w:t xml:space="preserve"> expectations.</w:t>
      </w:r>
      <w:r w:rsidR="009F3874" w:rsidRPr="00702FBD">
        <w:t xml:space="preserve"> </w:t>
      </w:r>
    </w:p>
    <w:p w14:paraId="39E3EBFC" w14:textId="21C0268E" w:rsidR="000F5805" w:rsidRPr="00702FBD" w:rsidRDefault="000F5805" w:rsidP="000F5805">
      <w:pPr>
        <w:pStyle w:val="ListParagraph"/>
        <w:numPr>
          <w:ilvl w:val="1"/>
          <w:numId w:val="3"/>
        </w:numPr>
      </w:pPr>
      <w:r w:rsidRPr="00702FBD">
        <w:t xml:space="preserve">The expected base level of presentation activity is </w:t>
      </w:r>
      <w:r w:rsidR="009F3874" w:rsidRPr="00702FBD">
        <w:t xml:space="preserve">a minimum of </w:t>
      </w:r>
      <w:r w:rsidRPr="00702FBD">
        <w:t xml:space="preserve">one presentation per year at a scientific meeting, conference, or workshop with a national or international scope. Alternatively, </w:t>
      </w:r>
      <w:r w:rsidR="009F3874" w:rsidRPr="00702FBD">
        <w:t xml:space="preserve">one may substitute an </w:t>
      </w:r>
      <w:r w:rsidR="009F3874" w:rsidRPr="00702FBD">
        <w:rPr>
          <w:u w:val="single"/>
        </w:rPr>
        <w:t>invited</w:t>
      </w:r>
      <w:r w:rsidR="009F3874" w:rsidRPr="00702FBD">
        <w:t xml:space="preserve"> presentation at a regional meeting, or an invited departmental seminar at an R1 academic institution.</w:t>
      </w:r>
    </w:p>
    <w:p w14:paraId="1E3ED1CD" w14:textId="1BCCE57C" w:rsidR="00D16B02" w:rsidRPr="00702FBD" w:rsidRDefault="00D16B02" w:rsidP="00D16B02">
      <w:pPr>
        <w:pStyle w:val="ListParagraph"/>
        <w:numPr>
          <w:ilvl w:val="1"/>
          <w:numId w:val="3"/>
        </w:numPr>
      </w:pPr>
      <w:r w:rsidRPr="00702FBD">
        <w:t>Grant funds</w:t>
      </w:r>
      <w:r w:rsidR="00BB12CC" w:rsidRPr="00702FBD">
        <w:t xml:space="preserve"> must be adequate to support the level of activity required to maintain one’s national research reputation. </w:t>
      </w:r>
      <w:r w:rsidR="00785EC6" w:rsidRPr="00702FBD">
        <w:t xml:space="preserve">A base level of external funding to </w:t>
      </w:r>
      <w:r w:rsidR="00785EC6" w:rsidRPr="00702FBD">
        <w:lastRenderedPageBreak/>
        <w:t>support a research group is $50,000 (</w:t>
      </w:r>
      <w:r w:rsidR="00E166DA" w:rsidRPr="00702FBD">
        <w:t>total</w:t>
      </w:r>
      <w:r w:rsidR="00785EC6" w:rsidRPr="00702FBD">
        <w:t xml:space="preserve"> costs) per year</w:t>
      </w:r>
      <w:r w:rsidR="00DC4F49" w:rsidRPr="00702FBD">
        <w:t xml:space="preserve"> </w:t>
      </w:r>
      <w:r w:rsidR="00785EC6" w:rsidRPr="00702FBD">
        <w:t xml:space="preserve">as PI, co-I, </w:t>
      </w:r>
      <w:r w:rsidR="00DC4F49" w:rsidRPr="00702FBD">
        <w:t xml:space="preserve">or </w:t>
      </w:r>
      <w:r w:rsidR="00785EC6" w:rsidRPr="00702FBD">
        <w:t xml:space="preserve">participating investigator. </w:t>
      </w:r>
      <w:r w:rsidR="00DC4F49" w:rsidRPr="00702FBD">
        <w:t xml:space="preserve">Where funding is jointly held, the </w:t>
      </w:r>
      <w:r w:rsidR="009C3930" w:rsidRPr="00702FBD">
        <w:t xml:space="preserve">amount contributing to </w:t>
      </w:r>
      <w:r w:rsidR="003A6D8C" w:rsidRPr="00702FBD">
        <w:t>faculty member’s</w:t>
      </w:r>
      <w:r w:rsidR="009C3930" w:rsidRPr="00702FBD">
        <w:t xml:space="preserve"> </w:t>
      </w:r>
      <w:r w:rsidR="003A6D8C" w:rsidRPr="00702FBD">
        <w:t>funding level</w:t>
      </w:r>
      <w:r w:rsidR="009C3930" w:rsidRPr="00702FBD">
        <w:t xml:space="preserve"> is based on their percentage of the award. </w:t>
      </w:r>
      <w:r w:rsidR="00785EC6" w:rsidRPr="00702FBD">
        <w:t xml:space="preserve">Faculty who </w:t>
      </w:r>
      <w:r w:rsidR="001308B6" w:rsidRPr="00702FBD">
        <w:t>have</w:t>
      </w:r>
      <w:r w:rsidR="00785EC6" w:rsidRPr="00702FBD">
        <w:t xml:space="preserve"> less than </w:t>
      </w:r>
      <w:r w:rsidR="003A6D8C" w:rsidRPr="00702FBD">
        <w:t>$50,000</w:t>
      </w:r>
      <w:r w:rsidR="001308B6" w:rsidRPr="00702FBD">
        <w:t xml:space="preserve"> in either the </w:t>
      </w:r>
      <w:r w:rsidR="003A6D8C" w:rsidRPr="00702FBD">
        <w:t>year</w:t>
      </w:r>
      <w:r w:rsidR="001308B6" w:rsidRPr="00702FBD">
        <w:t xml:space="preserve"> of the review</w:t>
      </w:r>
      <w:r w:rsidR="003A6D8C" w:rsidRPr="00702FBD">
        <w:t xml:space="preserve">, </w:t>
      </w:r>
      <w:r w:rsidR="001308B6" w:rsidRPr="00702FBD">
        <w:t xml:space="preserve">or </w:t>
      </w:r>
      <w:r w:rsidR="003A6D8C" w:rsidRPr="00702FBD">
        <w:t>averaged</w:t>
      </w:r>
      <w:r w:rsidR="00785EC6" w:rsidRPr="00702FBD">
        <w:t xml:space="preserve"> over a three</w:t>
      </w:r>
      <w:r w:rsidR="002D38CF" w:rsidRPr="00702FBD">
        <w:t>-</w:t>
      </w:r>
      <w:r w:rsidR="00785EC6" w:rsidRPr="00702FBD">
        <w:t>year period</w:t>
      </w:r>
      <w:r w:rsidR="003A6D8C" w:rsidRPr="00702FBD">
        <w:t>,</w:t>
      </w:r>
      <w:r w:rsidR="00785EC6" w:rsidRPr="00702FBD">
        <w:t xml:space="preserve"> are not meeting funding expectations. </w:t>
      </w:r>
    </w:p>
    <w:p w14:paraId="55993640" w14:textId="0A1687D8" w:rsidR="005E62A5" w:rsidRPr="00702FBD" w:rsidRDefault="005E62A5" w:rsidP="005E62A5">
      <w:pPr>
        <w:pStyle w:val="ListParagraph"/>
        <w:numPr>
          <w:ilvl w:val="1"/>
          <w:numId w:val="3"/>
        </w:numPr>
      </w:pPr>
      <w:r w:rsidRPr="00702FBD">
        <w:t>Assistant professors in the first three years of their initial faculty appointment are not held to these research standards.</w:t>
      </w:r>
      <w:r w:rsidR="006B22FE" w:rsidRPr="00702FBD">
        <w:t xml:space="preserve"> They are expected to exhibit clear evidence for building </w:t>
      </w:r>
      <w:r w:rsidR="00727A04" w:rsidRPr="00702FBD">
        <w:t>a</w:t>
      </w:r>
      <w:r w:rsidR="006B22FE" w:rsidRPr="00702FBD">
        <w:t xml:space="preserve"> research program</w:t>
      </w:r>
      <w:r w:rsidR="00002E59" w:rsidRPr="00702FBD">
        <w:t>, for example, submission of research proposals, progress in the construction of research instrumentation, recruitment of graduate students into their group, etc</w:t>
      </w:r>
      <w:r w:rsidR="006B22FE" w:rsidRPr="00702FBD">
        <w:t>.</w:t>
      </w:r>
    </w:p>
    <w:p w14:paraId="0677448D" w14:textId="7623F593" w:rsidR="00791FF7" w:rsidRPr="00702FBD" w:rsidRDefault="00D16B02" w:rsidP="00825647">
      <w:pPr>
        <w:pStyle w:val="ListParagraph"/>
        <w:numPr>
          <w:ilvl w:val="0"/>
          <w:numId w:val="3"/>
        </w:numPr>
      </w:pPr>
      <w:r w:rsidRPr="00702FBD">
        <w:t>A rating of “exceeds research expectations” will be applied for faculty members who greatly exceed the base level of publication</w:t>
      </w:r>
      <w:r w:rsidR="005719BC" w:rsidRPr="00702FBD">
        <w:t xml:space="preserve"> </w:t>
      </w:r>
      <w:r w:rsidRPr="00702FBD">
        <w:t xml:space="preserve">activity, funding, or can provide clear evidence of </w:t>
      </w:r>
      <w:r w:rsidR="00256D47" w:rsidRPr="00702FBD">
        <w:t>recognition of their research accomplishments at a national or international level. Excelling in two or more of the following categories constitutes exceptional research output, and will be recognized with a rating of “exceeds research expectations”.</w:t>
      </w:r>
    </w:p>
    <w:p w14:paraId="184D2CA7" w14:textId="18A6AF78" w:rsidR="00256D47" w:rsidRPr="00702FBD" w:rsidRDefault="00256D47" w:rsidP="00256D47">
      <w:pPr>
        <w:pStyle w:val="ListParagraph"/>
        <w:numPr>
          <w:ilvl w:val="1"/>
          <w:numId w:val="3"/>
        </w:numPr>
      </w:pPr>
      <w:r w:rsidRPr="00702FBD">
        <w:t xml:space="preserve">Publication of more than </w:t>
      </w:r>
      <w:r w:rsidR="0044495D" w:rsidRPr="00702FBD">
        <w:rPr>
          <w:u w:val="single"/>
        </w:rPr>
        <w:t>seven</w:t>
      </w:r>
      <w:r w:rsidRPr="00702FBD">
        <w:t xml:space="preserve"> journal articles </w:t>
      </w:r>
      <w:r w:rsidR="00FB61DF" w:rsidRPr="00702FBD">
        <w:t>during</w:t>
      </w:r>
      <w:r w:rsidRPr="00702FBD">
        <w:t xml:space="preserve"> the one</w:t>
      </w:r>
      <w:r w:rsidR="00FB61DF" w:rsidRPr="00702FBD">
        <w:t>-</w:t>
      </w:r>
      <w:r w:rsidRPr="00702FBD">
        <w:t>year review period.</w:t>
      </w:r>
      <w:r w:rsidR="00002E59" w:rsidRPr="00702FBD">
        <w:t xml:space="preserve"> The department head can use their discretion</w:t>
      </w:r>
      <w:r w:rsidR="00866D53" w:rsidRPr="00702FBD">
        <w:t xml:space="preserve"> to give extra credit for papers of exceptional</w:t>
      </w:r>
      <w:r w:rsidR="00172E1C" w:rsidRPr="00702FBD">
        <w:t xml:space="preserve"> impact.</w:t>
      </w:r>
    </w:p>
    <w:p w14:paraId="63B6B4A5" w14:textId="515B87C1" w:rsidR="00256D47" w:rsidRPr="00702FBD" w:rsidRDefault="00D26AC9" w:rsidP="00256D47">
      <w:pPr>
        <w:pStyle w:val="ListParagraph"/>
        <w:numPr>
          <w:ilvl w:val="1"/>
          <w:numId w:val="3"/>
        </w:numPr>
      </w:pPr>
      <w:r w:rsidRPr="00702FBD">
        <w:t xml:space="preserve">Grant funds in excess of </w:t>
      </w:r>
      <w:r w:rsidRPr="00702FBD">
        <w:rPr>
          <w:u w:val="single"/>
        </w:rPr>
        <w:t>$</w:t>
      </w:r>
      <w:r w:rsidR="005A6E2E" w:rsidRPr="00702FBD">
        <w:rPr>
          <w:u w:val="single"/>
        </w:rPr>
        <w:t>4</w:t>
      </w:r>
      <w:r w:rsidRPr="00702FBD">
        <w:rPr>
          <w:u w:val="single"/>
        </w:rPr>
        <w:t>0</w:t>
      </w:r>
      <w:r w:rsidR="00256D47" w:rsidRPr="00702FBD">
        <w:rPr>
          <w:u w:val="single"/>
        </w:rPr>
        <w:t>0,000</w:t>
      </w:r>
      <w:r w:rsidR="00256D47" w:rsidRPr="00702FBD">
        <w:t xml:space="preserve"> (total costs) in a year (when averaged over the life of the grant.)</w:t>
      </w:r>
    </w:p>
    <w:p w14:paraId="05DD9B1D" w14:textId="21B71538" w:rsidR="00256D47" w:rsidRPr="00702FBD" w:rsidRDefault="00256D47" w:rsidP="00256D47">
      <w:pPr>
        <w:pStyle w:val="ListParagraph"/>
        <w:numPr>
          <w:ilvl w:val="1"/>
          <w:numId w:val="3"/>
        </w:numPr>
      </w:pPr>
      <w:r w:rsidRPr="00702FBD">
        <w:t xml:space="preserve">Invited presentations at </w:t>
      </w:r>
      <w:r w:rsidRPr="00702FBD">
        <w:rPr>
          <w:u w:val="single"/>
        </w:rPr>
        <w:t>five</w:t>
      </w:r>
      <w:r w:rsidRPr="00702FBD">
        <w:t xml:space="preserve"> or more national or internat</w:t>
      </w:r>
      <w:r w:rsidR="00B2674A" w:rsidRPr="00702FBD">
        <w:t xml:space="preserve">ional meetings, conferences, </w:t>
      </w:r>
      <w:r w:rsidRPr="00702FBD">
        <w:t>workshops</w:t>
      </w:r>
      <w:r w:rsidR="00B2674A" w:rsidRPr="00702FBD">
        <w:t>, or departmental seminars at R1 universities</w:t>
      </w:r>
      <w:r w:rsidRPr="00702FBD">
        <w:t xml:space="preserve"> during the one</w:t>
      </w:r>
      <w:r w:rsidR="00FB61DF" w:rsidRPr="00702FBD">
        <w:t>-</w:t>
      </w:r>
      <w:r w:rsidRPr="00702FBD">
        <w:t>year review period.</w:t>
      </w:r>
    </w:p>
    <w:p w14:paraId="64A59244" w14:textId="77777777" w:rsidR="00052C49" w:rsidRPr="00702FBD" w:rsidRDefault="00256D47" w:rsidP="00256D47">
      <w:pPr>
        <w:pStyle w:val="ListParagraph"/>
        <w:numPr>
          <w:ilvl w:val="1"/>
          <w:numId w:val="3"/>
        </w:numPr>
      </w:pPr>
      <w:r w:rsidRPr="00702FBD">
        <w:t>Receipt of a national or international research award</w:t>
      </w:r>
      <w:r w:rsidR="00052C49" w:rsidRPr="00702FBD">
        <w:t>.</w:t>
      </w:r>
    </w:p>
    <w:p w14:paraId="11AB88CE" w14:textId="01EA758B" w:rsidR="00052C49" w:rsidRPr="00702FBD" w:rsidRDefault="00052C49" w:rsidP="00052C49">
      <w:pPr>
        <w:pStyle w:val="ListParagraph"/>
        <w:numPr>
          <w:ilvl w:val="1"/>
          <w:numId w:val="3"/>
        </w:numPr>
      </w:pPr>
      <w:r w:rsidRPr="00702FBD">
        <w:t>Appointment</w:t>
      </w:r>
      <w:r w:rsidR="00153757" w:rsidRPr="00702FBD">
        <w:t xml:space="preserve"> as member/fellow</w:t>
      </w:r>
      <w:r w:rsidR="008A18EE" w:rsidRPr="00702FBD">
        <w:t xml:space="preserve"> </w:t>
      </w:r>
      <w:r w:rsidRPr="00702FBD">
        <w:t>of</w:t>
      </w:r>
      <w:r w:rsidR="008A18EE" w:rsidRPr="00702FBD">
        <w:t xml:space="preserve"> a </w:t>
      </w:r>
      <w:r w:rsidR="00813664" w:rsidRPr="00702FBD">
        <w:t xml:space="preserve">prestigious </w:t>
      </w:r>
      <w:r w:rsidR="00153757" w:rsidRPr="00702FBD">
        <w:t>national/international society (NAS, ACS Fellow, AAAS Fellow</w:t>
      </w:r>
      <w:r w:rsidRPr="00702FBD">
        <w:t>), in the year of the appointment</w:t>
      </w:r>
      <w:r w:rsidR="00256D47" w:rsidRPr="00702FBD">
        <w:t>.</w:t>
      </w:r>
    </w:p>
    <w:p w14:paraId="3C0CE0E2" w14:textId="6C1AF264" w:rsidR="00E10C69" w:rsidRPr="00702FBD" w:rsidRDefault="00E10C69" w:rsidP="00223333">
      <w:pPr>
        <w:pStyle w:val="ListParagraph"/>
        <w:numPr>
          <w:ilvl w:val="0"/>
          <w:numId w:val="3"/>
        </w:numPr>
      </w:pPr>
      <w:r w:rsidRPr="00702FBD">
        <w:t>Teaching contributions are rated using a number of factors, including student evaluations, the number of students taught, the teaching load relative to expectation (one course per semester for most faculty), the development of new courses or new teaching methods, and teaching awards. Other factors that are counted toward teaching activity include mentoring in research (graduate and undergraduate students, postdoctoral researchers), and the graduation of doctoral and Master’s students.</w:t>
      </w:r>
    </w:p>
    <w:p w14:paraId="5F066899" w14:textId="48FE2638" w:rsidR="003D7B4F" w:rsidRPr="00702FBD" w:rsidRDefault="003D7B4F" w:rsidP="003D7B4F">
      <w:pPr>
        <w:pStyle w:val="ListParagraph"/>
        <w:numPr>
          <w:ilvl w:val="1"/>
          <w:numId w:val="3"/>
        </w:numPr>
      </w:pPr>
      <w:r w:rsidRPr="00702FBD">
        <w:t>A faculty member</w:t>
      </w:r>
      <w:r w:rsidR="00FE1A89" w:rsidRPr="00702FBD">
        <w:t>’s teaching</w:t>
      </w:r>
      <w:r w:rsidRPr="00702FBD">
        <w:t xml:space="preserve"> “meet</w:t>
      </w:r>
      <w:r w:rsidR="00FE1A89" w:rsidRPr="00702FBD">
        <w:t>s</w:t>
      </w:r>
      <w:r w:rsidRPr="00702FBD">
        <w:t xml:space="preserve"> expectations” if they</w:t>
      </w:r>
      <w:r w:rsidR="00FE1A89" w:rsidRPr="00702FBD">
        <w:t xml:space="preserve"> instruct the expected number of courses in a year (an average of one course/semester for most chemistry faculty; one course teaching release is provided to the head, associate head, and some faculty with chaired or special professorships), and achieve satisfactory student evaluations</w:t>
      </w:r>
      <w:r w:rsidR="00CB4B7A" w:rsidRPr="00702FBD">
        <w:t xml:space="preserve"> for their assigned courses</w:t>
      </w:r>
      <w:r w:rsidR="00FE1A89" w:rsidRPr="00702FBD">
        <w:t>.</w:t>
      </w:r>
    </w:p>
    <w:p w14:paraId="5922DAB4" w14:textId="5A24A845" w:rsidR="00FE1A89" w:rsidRPr="00702FBD" w:rsidRDefault="00FE1A89" w:rsidP="003D7B4F">
      <w:pPr>
        <w:pStyle w:val="ListParagraph"/>
        <w:numPr>
          <w:ilvl w:val="1"/>
          <w:numId w:val="3"/>
        </w:numPr>
      </w:pPr>
      <w:r w:rsidRPr="00702FBD">
        <w:t>To “exceed expectations” in teaching, a faculty member must demonstrate extra effort or achievement through one of the following metrics:</w:t>
      </w:r>
    </w:p>
    <w:p w14:paraId="5A6119B9" w14:textId="5A0F20D5" w:rsidR="00FE1A89" w:rsidRPr="00702FBD" w:rsidRDefault="00FE1A89" w:rsidP="00FE1A89">
      <w:pPr>
        <w:pStyle w:val="ListParagraph"/>
        <w:numPr>
          <w:ilvl w:val="2"/>
          <w:numId w:val="3"/>
        </w:numPr>
      </w:pPr>
      <w:r w:rsidRPr="00702FBD">
        <w:t>Receipt of a teaching award</w:t>
      </w:r>
    </w:p>
    <w:p w14:paraId="116B71E2" w14:textId="185844E5" w:rsidR="00FE1A89" w:rsidRPr="00702FBD" w:rsidRDefault="00FE1A89" w:rsidP="00FE1A89">
      <w:pPr>
        <w:pStyle w:val="ListParagraph"/>
        <w:numPr>
          <w:ilvl w:val="2"/>
          <w:numId w:val="3"/>
        </w:numPr>
      </w:pPr>
      <w:r w:rsidRPr="00702FBD">
        <w:t xml:space="preserve">Teaching evaluations that are statistically and quantitatively better than the historical scores for a course of the same level (1000-2000 level, 3000-4000 level, 6000-8000 level). </w:t>
      </w:r>
    </w:p>
    <w:p w14:paraId="63EA31C2" w14:textId="6BBC9A68" w:rsidR="001D4ED1" w:rsidRPr="00702FBD" w:rsidRDefault="001D4ED1" w:rsidP="00FE1A89">
      <w:pPr>
        <w:pStyle w:val="ListParagraph"/>
        <w:numPr>
          <w:ilvl w:val="2"/>
          <w:numId w:val="3"/>
        </w:numPr>
      </w:pPr>
      <w:r w:rsidRPr="00702FBD">
        <w:lastRenderedPageBreak/>
        <w:t>Teaching impact</w:t>
      </w:r>
      <w:r w:rsidR="00F163CE" w:rsidRPr="00702FBD">
        <w:t xml:space="preserve"> compared to departmental averages, in the year of review; “teaching impact” is</w:t>
      </w:r>
      <w:r w:rsidRPr="00702FBD">
        <w:t xml:space="preserve"> based on the number of students that were taught, the number of graduate students that were mentored, or the number of graduate students that completed their degrees</w:t>
      </w:r>
      <w:r w:rsidR="00F163CE" w:rsidRPr="00702FBD">
        <w:t>.</w:t>
      </w:r>
    </w:p>
    <w:p w14:paraId="0D57CAE1" w14:textId="7C0ECA5D" w:rsidR="00FE1A89" w:rsidRPr="00702FBD" w:rsidRDefault="00FE1A89" w:rsidP="00FE1A89">
      <w:pPr>
        <w:pStyle w:val="ListParagraph"/>
        <w:numPr>
          <w:ilvl w:val="2"/>
          <w:numId w:val="3"/>
        </w:numPr>
      </w:pPr>
      <w:r w:rsidRPr="00702FBD">
        <w:t>Completion of a significant course development (creation of a new course, development of new course materials, completion of a textbook, etc.)</w:t>
      </w:r>
    </w:p>
    <w:p w14:paraId="60D1E554" w14:textId="46933E11" w:rsidR="00E10C69" w:rsidRPr="00702FBD" w:rsidRDefault="00F90DB6" w:rsidP="00223333">
      <w:pPr>
        <w:pStyle w:val="ListParagraph"/>
        <w:numPr>
          <w:ilvl w:val="0"/>
          <w:numId w:val="3"/>
        </w:numPr>
      </w:pPr>
      <w:r w:rsidRPr="00702FBD">
        <w:t xml:space="preserve">Service, while not formally budgeted for most faculty, is expected for faculty members. Service activities include participation in </w:t>
      </w:r>
      <w:r w:rsidR="000567DB" w:rsidRPr="00702FBD">
        <w:t xml:space="preserve">committees at the </w:t>
      </w:r>
      <w:r w:rsidRPr="00702FBD">
        <w:t xml:space="preserve">departmental, college, university, or professional </w:t>
      </w:r>
      <w:r w:rsidR="000567DB" w:rsidRPr="00702FBD">
        <w:t>organization level</w:t>
      </w:r>
      <w:r w:rsidRPr="00702FBD">
        <w:t xml:space="preserve"> (with extra credit for chairing committees), </w:t>
      </w:r>
      <w:r w:rsidR="000567DB" w:rsidRPr="00702FBD">
        <w:t xml:space="preserve">editorships of journals or books, </w:t>
      </w:r>
      <w:r w:rsidR="00A615CC" w:rsidRPr="00702FBD">
        <w:t xml:space="preserve">or </w:t>
      </w:r>
      <w:r w:rsidR="000567DB" w:rsidRPr="00702FBD">
        <w:t>membership on editorial advisory boards of journals</w:t>
      </w:r>
      <w:r w:rsidR="00A615CC" w:rsidRPr="00702FBD">
        <w:t>. Other important contributions to service include organizing meetings or symposia, or serving on scientific advisory committees. Review of proposals and publications are also important service contributions. Service contributions are weighted according to the amount of work performed, and the scope and impact of the activity.</w:t>
      </w:r>
    </w:p>
    <w:p w14:paraId="297E4D7E" w14:textId="77777777" w:rsidR="00F61C7A" w:rsidRPr="00702FBD" w:rsidRDefault="005013BC" w:rsidP="00223333">
      <w:pPr>
        <w:pStyle w:val="ListParagraph"/>
        <w:numPr>
          <w:ilvl w:val="0"/>
          <w:numId w:val="3"/>
        </w:numPr>
      </w:pPr>
      <w:r w:rsidRPr="00702FBD">
        <w:t>The Summary rating will take into account all of the above categories, and the assigned distribution of effort between teaching, research, and service.</w:t>
      </w:r>
      <w:r w:rsidR="00750ACD" w:rsidRPr="00702FBD">
        <w:t xml:space="preserve"> In general, a summary rating of “</w:t>
      </w:r>
      <w:r w:rsidR="000F33E7" w:rsidRPr="00702FBD">
        <w:t>meet</w:t>
      </w:r>
      <w:r w:rsidR="00750ACD" w:rsidRPr="00702FBD">
        <w:t>s</w:t>
      </w:r>
      <w:r w:rsidR="000F33E7" w:rsidRPr="00702FBD">
        <w:t xml:space="preserve"> expectations</w:t>
      </w:r>
      <w:r w:rsidR="00750ACD" w:rsidRPr="00702FBD">
        <w:t>” is provided to faculty that</w:t>
      </w:r>
      <w:r w:rsidR="000F33E7" w:rsidRPr="00702FBD">
        <w:t xml:space="preserve"> meet expectations in two categories (Research, Instruction, Service)</w:t>
      </w:r>
      <w:r w:rsidR="00750ACD" w:rsidRPr="00702FBD">
        <w:t>.</w:t>
      </w:r>
      <w:r w:rsidR="000F33E7" w:rsidRPr="00702FBD">
        <w:t xml:space="preserve"> </w:t>
      </w:r>
      <w:r w:rsidR="003A4521" w:rsidRPr="00702FBD">
        <w:t xml:space="preserve"> Most Chemistry faculty members</w:t>
      </w:r>
      <w:r w:rsidR="000F33E7" w:rsidRPr="00702FBD">
        <w:t xml:space="preserve"> are assigned</w:t>
      </w:r>
      <w:r w:rsidR="003A4521" w:rsidRPr="00702FBD">
        <w:t xml:space="preserve"> 0.5 EFT in research and 0.25 EFT </w:t>
      </w:r>
      <w:r w:rsidR="000F33E7" w:rsidRPr="00702FBD">
        <w:t>in instruction. In this case, a summary rating of meeting</w:t>
      </w:r>
      <w:r w:rsidR="003A4521" w:rsidRPr="00702FBD">
        <w:t xml:space="preserve"> expectations</w:t>
      </w:r>
      <w:r w:rsidR="000F33E7" w:rsidRPr="00702FBD">
        <w:t xml:space="preserve"> requires only that they meet or exceed expectations in Research. To</w:t>
      </w:r>
      <w:r w:rsidR="00EE5C08" w:rsidRPr="00702FBD">
        <w:t xml:space="preserve"> earn a summary rating of “</w:t>
      </w:r>
      <w:r w:rsidR="000F33E7" w:rsidRPr="00702FBD">
        <w:t>exceed</w:t>
      </w:r>
      <w:r w:rsidR="00EE5C08" w:rsidRPr="00702FBD">
        <w:t>s</w:t>
      </w:r>
      <w:r w:rsidR="000F33E7" w:rsidRPr="00702FBD">
        <w:t xml:space="preserve"> expectations</w:t>
      </w:r>
      <w:r w:rsidR="00EE5C08" w:rsidRPr="00702FBD">
        <w:t>”</w:t>
      </w:r>
      <w:r w:rsidR="000F33E7" w:rsidRPr="00702FBD">
        <w:t xml:space="preserve">, they must exceed expectations in Research plus one </w:t>
      </w:r>
      <w:r w:rsidR="00EE5C08" w:rsidRPr="00702FBD">
        <w:t xml:space="preserve">or more of the </w:t>
      </w:r>
      <w:r w:rsidR="000F33E7" w:rsidRPr="00702FBD">
        <w:t>other categor</w:t>
      </w:r>
      <w:r w:rsidR="00EE5C08" w:rsidRPr="00702FBD">
        <w:t>ies of teaching and service</w:t>
      </w:r>
      <w:r w:rsidR="000F33E7" w:rsidRPr="00702FBD">
        <w:t>.</w:t>
      </w:r>
    </w:p>
    <w:p w14:paraId="45BF923B" w14:textId="1381B67D" w:rsidR="00C34BA6" w:rsidRPr="00702FBD" w:rsidRDefault="00F61C7A" w:rsidP="00223333">
      <w:pPr>
        <w:pStyle w:val="ListParagraph"/>
        <w:numPr>
          <w:ilvl w:val="0"/>
          <w:numId w:val="3"/>
        </w:numPr>
      </w:pPr>
      <w:r w:rsidRPr="00702FBD">
        <w:rPr>
          <w:b/>
          <w:u w:val="single"/>
        </w:rPr>
        <w:t>Relationship of the annual review to promotion and tenure.</w:t>
      </w:r>
      <w:r w:rsidRPr="00702FBD">
        <w:t xml:space="preserve"> The annual review</w:t>
      </w:r>
      <w:r w:rsidR="00582C98" w:rsidRPr="00702FBD">
        <w:t xml:space="preserve"> provides </w:t>
      </w:r>
      <w:r w:rsidRPr="00702FBD">
        <w:t>guidance to faculty members regarding their progress toward promotion and/or tenure. However, promotion and tenure have higher expectations than the annual review, and meeting annual expectations over the period of review does not guarantee success in promotion or tenure. One must excel at research and demonstrate teaching effectiveness in order to be promoted. Promotion to Associate Professor with Tenure requires also that one has achi</w:t>
      </w:r>
      <w:r w:rsidR="00916D0F" w:rsidRPr="00702FBD">
        <w:t>eved a national reputation in his/her research area, while promotion to Full Professor requires one to achieve an international reputation. In either case, external letters establish the quality of one’s research program, and are essential components in the promotion and or tenure decision.</w:t>
      </w:r>
      <w:r w:rsidRPr="00702FBD">
        <w:t xml:space="preserve">   </w:t>
      </w:r>
      <w:r w:rsidR="003A4521" w:rsidRPr="00702FBD">
        <w:t xml:space="preserve"> </w:t>
      </w:r>
    </w:p>
    <w:p w14:paraId="678B1590" w14:textId="77777777" w:rsidR="00EF4FC6" w:rsidRDefault="00EF4FC6">
      <w:pPr>
        <w:shd w:val="solid" w:color="FFFFFF" w:fill="FFFFFF"/>
        <w:tabs>
          <w:tab w:val="left" w:pos="-360"/>
          <w:tab w:val="left" w:pos="0"/>
        </w:tabs>
        <w:spacing w:line="218" w:lineRule="exact"/>
        <w:ind w:left="360"/>
        <w:jc w:val="both"/>
      </w:pPr>
    </w:p>
    <w:p w14:paraId="0CF7AE4E" w14:textId="77777777" w:rsidR="005013BC" w:rsidRDefault="005013BC" w:rsidP="00C34BA6">
      <w:pPr>
        <w:pStyle w:val="ListParagraph"/>
      </w:pPr>
    </w:p>
    <w:p w14:paraId="68DC2C25" w14:textId="77777777" w:rsidR="008E6BFD" w:rsidRDefault="008E6BFD"/>
    <w:sectPr w:rsidR="008E6BFD" w:rsidSect="0077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notTrueType/>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25DD4"/>
    <w:multiLevelType w:val="hybridMultilevel"/>
    <w:tmpl w:val="6F2C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41653"/>
    <w:multiLevelType w:val="hybridMultilevel"/>
    <w:tmpl w:val="560A1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36359"/>
    <w:multiLevelType w:val="multilevel"/>
    <w:tmpl w:val="05D2B07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29CA76A5"/>
    <w:multiLevelType w:val="hybridMultilevel"/>
    <w:tmpl w:val="D74AD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9772B"/>
    <w:multiLevelType w:val="hybridMultilevel"/>
    <w:tmpl w:val="05F86D74"/>
    <w:lvl w:ilvl="0" w:tplc="7BB444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617D0"/>
    <w:multiLevelType w:val="hybridMultilevel"/>
    <w:tmpl w:val="83AE38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0BC5AEE"/>
    <w:multiLevelType w:val="hybridMultilevel"/>
    <w:tmpl w:val="83AE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90AC7"/>
    <w:multiLevelType w:val="hybridMultilevel"/>
    <w:tmpl w:val="50B82FE4"/>
    <w:lvl w:ilvl="0" w:tplc="C5A037FE">
      <w:start w:val="1"/>
      <w:numFmt w:val="decimal"/>
      <w:lvlText w:val="%1."/>
      <w:lvlJc w:val="left"/>
      <w:pPr>
        <w:ind w:left="810" w:hanging="360"/>
      </w:pPr>
      <w:rPr>
        <w:rFonts w:cs="Times New Roman"/>
        <w:u w:val="single"/>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79C30FD1"/>
    <w:multiLevelType w:val="multilevel"/>
    <w:tmpl w:val="05D2B07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3"/>
  </w:num>
  <w:num w:numId="3">
    <w:abstractNumId w:val="1"/>
  </w:num>
  <w:num w:numId="4">
    <w:abstractNumId w:val="7"/>
  </w:num>
  <w:num w:numId="5">
    <w:abstractNumId w:val="5"/>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FD"/>
    <w:rsid w:val="00002E59"/>
    <w:rsid w:val="00050EAC"/>
    <w:rsid w:val="00052C49"/>
    <w:rsid w:val="000567DB"/>
    <w:rsid w:val="000941DF"/>
    <w:rsid w:val="000A3F61"/>
    <w:rsid w:val="000C4B54"/>
    <w:rsid w:val="000D266A"/>
    <w:rsid w:val="000E4088"/>
    <w:rsid w:val="000F33E7"/>
    <w:rsid w:val="000F5805"/>
    <w:rsid w:val="00106BD0"/>
    <w:rsid w:val="00125FCA"/>
    <w:rsid w:val="001308B6"/>
    <w:rsid w:val="0013517E"/>
    <w:rsid w:val="00153757"/>
    <w:rsid w:val="00161AA1"/>
    <w:rsid w:val="001642F9"/>
    <w:rsid w:val="00172E1C"/>
    <w:rsid w:val="001A6370"/>
    <w:rsid w:val="001D4ED1"/>
    <w:rsid w:val="001F7A6C"/>
    <w:rsid w:val="00223333"/>
    <w:rsid w:val="00254E74"/>
    <w:rsid w:val="00256D47"/>
    <w:rsid w:val="00265063"/>
    <w:rsid w:val="00270701"/>
    <w:rsid w:val="00290A56"/>
    <w:rsid w:val="002D38CF"/>
    <w:rsid w:val="002F069D"/>
    <w:rsid w:val="00330881"/>
    <w:rsid w:val="00350E42"/>
    <w:rsid w:val="00355273"/>
    <w:rsid w:val="00377BA7"/>
    <w:rsid w:val="00385AB0"/>
    <w:rsid w:val="003A4521"/>
    <w:rsid w:val="003A6D8C"/>
    <w:rsid w:val="003B5A61"/>
    <w:rsid w:val="003C1054"/>
    <w:rsid w:val="003C33D4"/>
    <w:rsid w:val="003D7B4F"/>
    <w:rsid w:val="00407A4D"/>
    <w:rsid w:val="004218E3"/>
    <w:rsid w:val="0044495D"/>
    <w:rsid w:val="00474416"/>
    <w:rsid w:val="00487FB1"/>
    <w:rsid w:val="004923C8"/>
    <w:rsid w:val="004B4223"/>
    <w:rsid w:val="005013BC"/>
    <w:rsid w:val="00510EAC"/>
    <w:rsid w:val="00555891"/>
    <w:rsid w:val="005719BC"/>
    <w:rsid w:val="00582C98"/>
    <w:rsid w:val="005A431C"/>
    <w:rsid w:val="005A6E2E"/>
    <w:rsid w:val="005B57F2"/>
    <w:rsid w:val="005E62A5"/>
    <w:rsid w:val="005F2B53"/>
    <w:rsid w:val="006545E7"/>
    <w:rsid w:val="00657EF2"/>
    <w:rsid w:val="006928AC"/>
    <w:rsid w:val="006A4E70"/>
    <w:rsid w:val="006B22FE"/>
    <w:rsid w:val="006C6D57"/>
    <w:rsid w:val="00702FBD"/>
    <w:rsid w:val="00727A04"/>
    <w:rsid w:val="00750ACD"/>
    <w:rsid w:val="00762F35"/>
    <w:rsid w:val="0077294C"/>
    <w:rsid w:val="00785EC6"/>
    <w:rsid w:val="00791FF7"/>
    <w:rsid w:val="007B4AC6"/>
    <w:rsid w:val="00800EE8"/>
    <w:rsid w:val="00813664"/>
    <w:rsid w:val="00825647"/>
    <w:rsid w:val="00866D53"/>
    <w:rsid w:val="008765E4"/>
    <w:rsid w:val="00883644"/>
    <w:rsid w:val="008A18EE"/>
    <w:rsid w:val="008E6BFD"/>
    <w:rsid w:val="008E77FD"/>
    <w:rsid w:val="008F652C"/>
    <w:rsid w:val="00916D0F"/>
    <w:rsid w:val="00922E99"/>
    <w:rsid w:val="00935EB6"/>
    <w:rsid w:val="00936B7B"/>
    <w:rsid w:val="00974643"/>
    <w:rsid w:val="009903D4"/>
    <w:rsid w:val="009A68FB"/>
    <w:rsid w:val="009B4308"/>
    <w:rsid w:val="009C31AA"/>
    <w:rsid w:val="009C3930"/>
    <w:rsid w:val="009E588D"/>
    <w:rsid w:val="009F3874"/>
    <w:rsid w:val="00A21245"/>
    <w:rsid w:val="00A56CCC"/>
    <w:rsid w:val="00A615CC"/>
    <w:rsid w:val="00A632EC"/>
    <w:rsid w:val="00A86F1B"/>
    <w:rsid w:val="00AD1457"/>
    <w:rsid w:val="00B051C1"/>
    <w:rsid w:val="00B2674A"/>
    <w:rsid w:val="00B957D2"/>
    <w:rsid w:val="00BA5B8E"/>
    <w:rsid w:val="00BB12CC"/>
    <w:rsid w:val="00BF533B"/>
    <w:rsid w:val="00C03E3D"/>
    <w:rsid w:val="00C34BA6"/>
    <w:rsid w:val="00C60B02"/>
    <w:rsid w:val="00C77D5A"/>
    <w:rsid w:val="00CB4B7A"/>
    <w:rsid w:val="00CF16FE"/>
    <w:rsid w:val="00D06501"/>
    <w:rsid w:val="00D16B02"/>
    <w:rsid w:val="00D26AC9"/>
    <w:rsid w:val="00D51CFA"/>
    <w:rsid w:val="00D81137"/>
    <w:rsid w:val="00DC4F49"/>
    <w:rsid w:val="00DD4D83"/>
    <w:rsid w:val="00E07A8D"/>
    <w:rsid w:val="00E10C69"/>
    <w:rsid w:val="00E166DA"/>
    <w:rsid w:val="00E61D4E"/>
    <w:rsid w:val="00E85E61"/>
    <w:rsid w:val="00EE5C08"/>
    <w:rsid w:val="00EF4FC6"/>
    <w:rsid w:val="00F137BB"/>
    <w:rsid w:val="00F163CE"/>
    <w:rsid w:val="00F40146"/>
    <w:rsid w:val="00F61C7A"/>
    <w:rsid w:val="00F845D1"/>
    <w:rsid w:val="00F90DB6"/>
    <w:rsid w:val="00FB61DF"/>
    <w:rsid w:val="00FE1A89"/>
    <w:rsid w:val="00FE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496807"/>
  <w14:defaultImageDpi w14:val="32767"/>
  <w15:docId w15:val="{3FAEE903-4AD8-2148-8DC9-5693628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F4FC6"/>
    <w:pPr>
      <w:widowControl w:val="0"/>
      <w:autoSpaceDE w:val="0"/>
      <w:autoSpaceDN w:val="0"/>
      <w:adjustRightInd w:val="0"/>
      <w:outlineLvl w:val="0"/>
    </w:pPr>
    <w:rPr>
      <w:rFonts w:ascii="Times" w:eastAsia="Times New Roman" w:hAnsi="Times" w:cs="Times"/>
    </w:rPr>
  </w:style>
  <w:style w:type="paragraph" w:styleId="Heading2">
    <w:name w:val="heading 2"/>
    <w:basedOn w:val="Normal"/>
    <w:next w:val="Normal"/>
    <w:link w:val="Heading2Char"/>
    <w:uiPriority w:val="99"/>
    <w:qFormat/>
    <w:rsid w:val="00EF4FC6"/>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ind w:left="900"/>
      <w:outlineLvl w:val="1"/>
    </w:pPr>
    <w:rPr>
      <w:rFonts w:ascii="Times" w:eastAsia="Times New Roman" w:hAnsi="Times" w:cs="Times"/>
    </w:rPr>
  </w:style>
  <w:style w:type="paragraph" w:styleId="Heading3">
    <w:name w:val="heading 3"/>
    <w:basedOn w:val="Normal"/>
    <w:next w:val="Normal"/>
    <w:link w:val="Heading3Char"/>
    <w:uiPriority w:val="99"/>
    <w:qFormat/>
    <w:rsid w:val="00EF4FC6"/>
    <w:pPr>
      <w:keepNext/>
      <w:widowControl w:val="0"/>
      <w:shd w:val="solid" w:color="FFFFFF" w:fill="FFFFFF"/>
      <w:tabs>
        <w:tab w:val="left" w:pos="0"/>
      </w:tabs>
      <w:autoSpaceDE w:val="0"/>
      <w:autoSpaceDN w:val="0"/>
      <w:adjustRightInd w:val="0"/>
      <w:spacing w:line="218" w:lineRule="exact"/>
      <w:outlineLvl w:val="2"/>
    </w:pPr>
    <w:rPr>
      <w:rFonts w:ascii="Arial" w:eastAsia="Times New Roman"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23"/>
    <w:pPr>
      <w:ind w:left="720"/>
      <w:contextualSpacing/>
    </w:pPr>
  </w:style>
  <w:style w:type="character" w:styleId="Hyperlink">
    <w:name w:val="Hyperlink"/>
    <w:basedOn w:val="DefaultParagraphFont"/>
    <w:uiPriority w:val="99"/>
    <w:unhideWhenUsed/>
    <w:rsid w:val="006545E7"/>
    <w:rPr>
      <w:color w:val="0563C1" w:themeColor="hyperlink"/>
      <w:u w:val="single"/>
    </w:rPr>
  </w:style>
  <w:style w:type="character" w:customStyle="1" w:styleId="Heading1Char">
    <w:name w:val="Heading 1 Char"/>
    <w:basedOn w:val="DefaultParagraphFont"/>
    <w:link w:val="Heading1"/>
    <w:uiPriority w:val="99"/>
    <w:rsid w:val="00EF4FC6"/>
    <w:rPr>
      <w:rFonts w:ascii="Times" w:eastAsia="Times New Roman" w:hAnsi="Times" w:cs="Times"/>
    </w:rPr>
  </w:style>
  <w:style w:type="character" w:customStyle="1" w:styleId="Heading2Char">
    <w:name w:val="Heading 2 Char"/>
    <w:basedOn w:val="DefaultParagraphFont"/>
    <w:link w:val="Heading2"/>
    <w:uiPriority w:val="99"/>
    <w:rsid w:val="00EF4FC6"/>
    <w:rPr>
      <w:rFonts w:ascii="Times" w:eastAsia="Times New Roman" w:hAnsi="Times" w:cs="Times"/>
    </w:rPr>
  </w:style>
  <w:style w:type="character" w:customStyle="1" w:styleId="Heading3Char">
    <w:name w:val="Heading 3 Char"/>
    <w:basedOn w:val="DefaultParagraphFont"/>
    <w:link w:val="Heading3"/>
    <w:uiPriority w:val="99"/>
    <w:rsid w:val="00EF4FC6"/>
    <w:rPr>
      <w:rFonts w:ascii="Arial" w:eastAsia="Times New Roman" w:hAnsi="Arial" w:cs="Arial"/>
      <w:i/>
      <w:iCs/>
      <w:sz w:val="20"/>
      <w:szCs w:val="20"/>
      <w:shd w:val="solid" w:color="FFFFFF" w:fill="FFFFFF"/>
    </w:rPr>
  </w:style>
  <w:style w:type="paragraph" w:styleId="Footer">
    <w:name w:val="footer"/>
    <w:basedOn w:val="Normal"/>
    <w:link w:val="FooterChar"/>
    <w:uiPriority w:val="99"/>
    <w:rsid w:val="00EF4FC6"/>
    <w:pPr>
      <w:widowControl w:val="0"/>
      <w:tabs>
        <w:tab w:val="left" w:pos="0"/>
        <w:tab w:val="center" w:pos="4320"/>
        <w:tab w:val="right" w:pos="8640"/>
        <w:tab w:val="left" w:pos="9360"/>
      </w:tabs>
      <w:autoSpaceDE w:val="0"/>
      <w:autoSpaceDN w:val="0"/>
      <w:adjustRightInd w:val="0"/>
    </w:pPr>
    <w:rPr>
      <w:rFonts w:ascii="Geneva" w:eastAsia="Times New Roman" w:hAnsi="Geneva" w:cs="Geneva"/>
    </w:rPr>
  </w:style>
  <w:style w:type="character" w:customStyle="1" w:styleId="FooterChar">
    <w:name w:val="Footer Char"/>
    <w:basedOn w:val="DefaultParagraphFont"/>
    <w:link w:val="Footer"/>
    <w:uiPriority w:val="99"/>
    <w:rsid w:val="00EF4FC6"/>
    <w:rPr>
      <w:rFonts w:ascii="Geneva" w:eastAsia="Times New Roman" w:hAnsi="Geneva" w:cs="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uga.edu/departmental-operations/by-laws" TargetMode="External"/><Relationship Id="rId3" Type="http://schemas.openxmlformats.org/officeDocument/2006/relationships/settings" Target="settings.xml"/><Relationship Id="rId7" Type="http://schemas.openxmlformats.org/officeDocument/2006/relationships/hyperlink" Target="http://www.chem.uga.edu/system/files/pt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ga.elements.symplectic.org/login.html" TargetMode="External"/><Relationship Id="rId5" Type="http://schemas.openxmlformats.org/officeDocument/2006/relationships/hyperlink" Target="http://provost.uga.edu/index.php/policies/academic-affairs-policy-manual/1-06-1-written-annual-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10352</Characters>
  <Application>Microsoft Office Word</Application>
  <DocSecurity>0</DocSecurity>
  <Lines>136</Lines>
  <Paragraphs>32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Undergraduate Students Supervised</vt:lpstr>
      <vt:lpstr/>
      <vt:lpstr>Invited Seminars</vt:lpstr>
      <vt:lpstr>    US </vt:lpstr>
      <vt:lpstr>    International </vt:lpstr>
    </vt:vector>
  </TitlesOfParts>
  <Company>UGA - Chemistry</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JONATHAN Amster</dc:creator>
  <cp:keywords/>
  <dc:description/>
  <cp:lastModifiedBy>I JONATHAN Amster</cp:lastModifiedBy>
  <cp:revision>2</cp:revision>
  <dcterms:created xsi:type="dcterms:W3CDTF">2020-05-04T18:56:00Z</dcterms:created>
  <dcterms:modified xsi:type="dcterms:W3CDTF">2020-05-04T18:56:00Z</dcterms:modified>
</cp:coreProperties>
</file>